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CECE0" w14:textId="77777777" w:rsidR="00FC7F1D" w:rsidRPr="00FC7F1D" w:rsidRDefault="00FC7F1D" w:rsidP="00FC7F1D">
      <w:pPr>
        <w:spacing w:after="0" w:line="240" w:lineRule="auto"/>
        <w:rPr>
          <w:b/>
          <w:sz w:val="32"/>
          <w:szCs w:val="32"/>
        </w:rPr>
      </w:pPr>
      <w:r w:rsidRPr="00FC7F1D">
        <w:rPr>
          <w:b/>
          <w:sz w:val="32"/>
          <w:szCs w:val="32"/>
        </w:rPr>
        <w:t>PAC Form Item #3: Mapping</w:t>
      </w:r>
    </w:p>
    <w:p w14:paraId="6BE83F90" w14:textId="435D6B6F" w:rsidR="00FC7F1D" w:rsidRPr="00FC7F1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New Course</w:t>
      </w:r>
      <w:r w:rsidRPr="00FC7F1D">
        <w:rPr>
          <w:b/>
          <w:sz w:val="32"/>
          <w:szCs w:val="32"/>
        </w:rPr>
        <w:t>: Map course to its program(s).</w:t>
      </w:r>
    </w:p>
    <w:p w14:paraId="309A384F" w14:textId="40C4D51D" w:rsidR="00901EC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Existing Course</w:t>
      </w:r>
      <w:r w:rsidRPr="00FC7F1D">
        <w:rPr>
          <w:b/>
          <w:sz w:val="32"/>
          <w:szCs w:val="32"/>
        </w:rPr>
        <w:t>: If SLOs have changed, complete worksheet(s).</w:t>
      </w:r>
    </w:p>
    <w:p w14:paraId="309A3850" w14:textId="77777777" w:rsidR="000957DD" w:rsidRDefault="000957DD" w:rsidP="00FC7F1D">
      <w:pPr>
        <w:spacing w:after="0" w:line="240" w:lineRule="auto"/>
        <w:rPr>
          <w:b/>
          <w:sz w:val="32"/>
          <w:szCs w:val="32"/>
        </w:rPr>
      </w:pPr>
    </w:p>
    <w:p w14:paraId="095544EF" w14:textId="77777777" w:rsidR="00FC7F1D" w:rsidRPr="00803749" w:rsidRDefault="00FC7F1D" w:rsidP="00FC7F1D">
      <w:pPr>
        <w:spacing w:line="240" w:lineRule="auto"/>
        <w:contextualSpacing/>
        <w:rPr>
          <w:rFonts w:ascii="Calibri" w:eastAsia="Calibri" w:hAnsi="Calibri" w:cs="Times New Roman"/>
          <w:b/>
          <w:sz w:val="24"/>
          <w:szCs w:val="24"/>
        </w:rPr>
      </w:pPr>
      <w:r w:rsidRPr="00803749">
        <w:rPr>
          <w:rFonts w:ascii="Calibri" w:eastAsia="Calibri" w:hAnsi="Calibri" w:cs="Times New Roman"/>
          <w:b/>
          <w:sz w:val="24"/>
          <w:szCs w:val="24"/>
        </w:rPr>
        <w:t>Instructions:</w:t>
      </w:r>
    </w:p>
    <w:p w14:paraId="27423FB8"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On the worksheet, identify the course. </w:t>
      </w:r>
    </w:p>
    <w:p w14:paraId="339346D8" w14:textId="090CB98B" w:rsidR="00FC7F1D" w:rsidRPr="00803749" w:rsidRDefault="00FC7F1D" w:rsidP="0005502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Review the learning goals/SLOs</w:t>
      </w:r>
      <w:r w:rsidR="00803749">
        <w:rPr>
          <w:rFonts w:ascii="Calibri" w:eastAsia="Calibri" w:hAnsi="Calibri" w:cs="Times New Roman"/>
          <w:sz w:val="24"/>
          <w:szCs w:val="24"/>
        </w:rPr>
        <w:t xml:space="preserve"> (referred to as Degree Learning Outcomes on the worksheet)</w:t>
      </w:r>
      <w:r w:rsidRPr="00803749">
        <w:rPr>
          <w:rFonts w:ascii="Calibri" w:eastAsia="Calibri" w:hAnsi="Calibri" w:cs="Times New Roman"/>
          <w:sz w:val="24"/>
          <w:szCs w:val="24"/>
        </w:rPr>
        <w:t xml:space="preserve"> for the </w:t>
      </w:r>
      <w:r w:rsidR="00F0596A">
        <w:rPr>
          <w:rFonts w:ascii="Calibri" w:eastAsia="Calibri" w:hAnsi="Calibri" w:cs="Times New Roman"/>
          <w:sz w:val="24"/>
          <w:szCs w:val="24"/>
        </w:rPr>
        <w:t>Accounting</w:t>
      </w:r>
      <w:r w:rsidRPr="00803749">
        <w:rPr>
          <w:rFonts w:ascii="Calibri" w:eastAsia="Calibri" w:hAnsi="Calibri" w:cs="Times New Roman"/>
          <w:sz w:val="24"/>
          <w:szCs w:val="24"/>
        </w:rPr>
        <w:t xml:space="preserve"> major</w:t>
      </w:r>
      <w:r w:rsidRPr="00803749">
        <w:rPr>
          <w:rFonts w:ascii="Calibri" w:eastAsia="Calibri" w:hAnsi="Calibri" w:cs="Times New Roman"/>
          <w:sz w:val="24"/>
          <w:szCs w:val="24"/>
        </w:rPr>
        <w:t>. The goals are listed, in brief on the worksheet however they should be reviewed in detail at:</w:t>
      </w:r>
      <w:r w:rsidR="0005502D">
        <w:rPr>
          <w:rFonts w:ascii="Calibri" w:eastAsia="Calibri" w:hAnsi="Calibri" w:cs="Times New Roman"/>
          <w:sz w:val="24"/>
          <w:szCs w:val="24"/>
        </w:rPr>
        <w:t xml:space="preserve"> </w:t>
      </w:r>
      <w:hyperlink r:id="rId5" w:history="1">
        <w:r w:rsidR="0005502D" w:rsidRPr="00FC5B90">
          <w:rPr>
            <w:rStyle w:val="Hyperlink"/>
            <w:rFonts w:ascii="Calibri" w:eastAsia="Calibri" w:hAnsi="Calibri" w:cs="Times New Roman"/>
            <w:sz w:val="24"/>
            <w:szCs w:val="24"/>
          </w:rPr>
          <w:t>http://cbaweb.sdsu.edu/assets/files/assessment/goals/2012/BSBA-Acct.pdf</w:t>
        </w:r>
      </w:hyperlink>
      <w:r w:rsidR="0005502D">
        <w:rPr>
          <w:rFonts w:ascii="Calibri" w:eastAsia="Calibri" w:hAnsi="Calibri" w:cs="Times New Roman"/>
          <w:sz w:val="24"/>
          <w:szCs w:val="24"/>
        </w:rPr>
        <w:t xml:space="preserve">. </w:t>
      </w:r>
    </w:p>
    <w:p w14:paraId="34118D82"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If a given goal/SLO is a primary focus of the course, indicate this by placing an “X” in the Primary Focus column.  </w:t>
      </w:r>
    </w:p>
    <w:p w14:paraId="206E812E" w14:textId="680E3F8A" w:rsidR="00FC7F1D" w:rsidRPr="00803749" w:rsidRDefault="00FC7F1D" w:rsidP="00FC7F1D">
      <w:pPr>
        <w:numPr>
          <w:ilvl w:val="1"/>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u w:val="single"/>
        </w:rPr>
        <w:t>Note</w:t>
      </w:r>
      <w:r w:rsidRPr="00803749">
        <w:rPr>
          <w:rFonts w:ascii="Calibri" w:eastAsia="Calibri" w:hAnsi="Calibri" w:cs="Times New Roman"/>
          <w:sz w:val="24"/>
          <w:szCs w:val="24"/>
        </w:rPr>
        <w:t xml:space="preserve">: </w:t>
      </w:r>
      <w:r w:rsidRPr="00803749">
        <w:rPr>
          <w:rFonts w:ascii="Calibri" w:eastAsia="Calibri" w:hAnsi="Calibri" w:cs="Times New Roman"/>
          <w:i/>
          <w:sz w:val="24"/>
          <w:szCs w:val="24"/>
        </w:rPr>
        <w:t xml:space="preserve">A topic that is part of a course is not necessarily the primary focus of the course. For example, </w:t>
      </w:r>
      <w:r w:rsidR="008C4022">
        <w:rPr>
          <w:rFonts w:ascii="Calibri" w:eastAsia="Calibri" w:hAnsi="Calibri" w:cs="Times New Roman"/>
          <w:i/>
          <w:sz w:val="24"/>
          <w:szCs w:val="24"/>
        </w:rPr>
        <w:t>“</w:t>
      </w:r>
      <w:r w:rsidR="0005502D" w:rsidRPr="0005502D">
        <w:rPr>
          <w:bCs/>
          <w:i/>
          <w:iCs/>
          <w:sz w:val="24"/>
          <w:szCs w:val="24"/>
        </w:rPr>
        <w:t>Evaluate &amp; communicate the reliability of organization info by applying professional standards.</w:t>
      </w:r>
      <w:r w:rsidR="008C4022">
        <w:rPr>
          <w:rFonts w:ascii="Calibri" w:eastAsia="Calibri" w:hAnsi="Calibri" w:cs="Times New Roman"/>
          <w:i/>
          <w:sz w:val="24"/>
          <w:szCs w:val="24"/>
        </w:rPr>
        <w:t>” may be</w:t>
      </w:r>
      <w:r w:rsidRPr="00803749">
        <w:rPr>
          <w:rFonts w:ascii="Calibri" w:eastAsia="Calibri" w:hAnsi="Calibri" w:cs="Times New Roman"/>
          <w:i/>
          <w:sz w:val="24"/>
          <w:szCs w:val="24"/>
        </w:rPr>
        <w:t xml:space="preserve"> a primary focus of </w:t>
      </w:r>
      <w:r w:rsidR="0005502D">
        <w:rPr>
          <w:rFonts w:ascii="Calibri" w:eastAsia="Calibri" w:hAnsi="Calibri" w:cs="Times New Roman"/>
          <w:i/>
          <w:sz w:val="24"/>
          <w:szCs w:val="24"/>
        </w:rPr>
        <w:t>ACC 333</w:t>
      </w:r>
      <w:r w:rsidRPr="00803749">
        <w:rPr>
          <w:rFonts w:ascii="Calibri" w:eastAsia="Calibri" w:hAnsi="Calibri" w:cs="Times New Roman"/>
          <w:i/>
          <w:sz w:val="24"/>
          <w:szCs w:val="24"/>
        </w:rPr>
        <w:t xml:space="preserve"> (</w:t>
      </w:r>
      <w:r w:rsidR="0005502D">
        <w:rPr>
          <w:rFonts w:ascii="Calibri" w:eastAsia="Calibri" w:hAnsi="Calibri" w:cs="Times New Roman"/>
          <w:i/>
          <w:sz w:val="24"/>
          <w:szCs w:val="24"/>
        </w:rPr>
        <w:t>Accounting Information Systems</w:t>
      </w:r>
      <w:r w:rsidRPr="00803749">
        <w:rPr>
          <w:rFonts w:ascii="Calibri" w:eastAsia="Calibri" w:hAnsi="Calibri" w:cs="Times New Roman"/>
          <w:i/>
          <w:sz w:val="24"/>
          <w:szCs w:val="24"/>
        </w:rPr>
        <w:t xml:space="preserve">). </w:t>
      </w:r>
      <w:r w:rsidR="0005502D">
        <w:rPr>
          <w:rFonts w:ascii="Calibri" w:eastAsia="Calibri" w:hAnsi="Calibri" w:cs="Times New Roman"/>
          <w:i/>
          <w:sz w:val="24"/>
          <w:szCs w:val="24"/>
        </w:rPr>
        <w:t>This same topic</w:t>
      </w:r>
      <w:r w:rsidRPr="00803749">
        <w:rPr>
          <w:rFonts w:ascii="Calibri" w:eastAsia="Calibri" w:hAnsi="Calibri" w:cs="Times New Roman"/>
          <w:i/>
          <w:sz w:val="24"/>
          <w:szCs w:val="24"/>
        </w:rPr>
        <w:t xml:space="preserve"> may be </w:t>
      </w:r>
      <w:r w:rsidR="008C4022">
        <w:rPr>
          <w:rFonts w:ascii="Calibri" w:eastAsia="Calibri" w:hAnsi="Calibri" w:cs="Times New Roman"/>
          <w:i/>
          <w:sz w:val="24"/>
          <w:szCs w:val="24"/>
        </w:rPr>
        <w:t>introduced</w:t>
      </w:r>
      <w:r w:rsidRPr="00803749">
        <w:rPr>
          <w:rFonts w:ascii="Calibri" w:eastAsia="Calibri" w:hAnsi="Calibri" w:cs="Times New Roman"/>
          <w:i/>
          <w:sz w:val="24"/>
          <w:szCs w:val="24"/>
        </w:rPr>
        <w:t>/covered in a</w:t>
      </w:r>
      <w:r w:rsidRPr="00803749">
        <w:rPr>
          <w:rFonts w:ascii="Calibri" w:eastAsia="Calibri" w:hAnsi="Calibri" w:cs="Times New Roman"/>
          <w:i/>
          <w:sz w:val="24"/>
          <w:szCs w:val="24"/>
        </w:rPr>
        <w:t xml:space="preserve"> course </w:t>
      </w:r>
      <w:r w:rsidRPr="00803749">
        <w:rPr>
          <w:rFonts w:ascii="Calibri" w:eastAsia="Calibri" w:hAnsi="Calibri" w:cs="Times New Roman"/>
          <w:i/>
          <w:sz w:val="24"/>
          <w:szCs w:val="24"/>
        </w:rPr>
        <w:t>such as</w:t>
      </w:r>
      <w:r w:rsidRPr="00803749">
        <w:rPr>
          <w:rFonts w:ascii="Calibri" w:eastAsia="Calibri" w:hAnsi="Calibri" w:cs="Times New Roman"/>
          <w:i/>
          <w:sz w:val="24"/>
          <w:szCs w:val="24"/>
        </w:rPr>
        <w:t xml:space="preserve"> </w:t>
      </w:r>
      <w:r w:rsidR="0005502D">
        <w:rPr>
          <w:rFonts w:ascii="Calibri" w:eastAsia="Calibri" w:hAnsi="Calibri" w:cs="Times New Roman"/>
          <w:i/>
          <w:sz w:val="24"/>
          <w:szCs w:val="24"/>
        </w:rPr>
        <w:t>ACC331</w:t>
      </w:r>
      <w:r w:rsidRPr="00803749">
        <w:rPr>
          <w:rFonts w:ascii="Calibri" w:eastAsia="Calibri" w:hAnsi="Calibri" w:cs="Times New Roman"/>
          <w:i/>
          <w:sz w:val="24"/>
          <w:szCs w:val="24"/>
        </w:rPr>
        <w:t xml:space="preserve"> (</w:t>
      </w:r>
      <w:r w:rsidR="0005502D">
        <w:rPr>
          <w:rFonts w:ascii="Calibri" w:eastAsia="Calibri" w:hAnsi="Calibri" w:cs="Times New Roman"/>
          <w:i/>
          <w:sz w:val="24"/>
          <w:szCs w:val="24"/>
        </w:rPr>
        <w:t>Intermediate Accounting I</w:t>
      </w:r>
      <w:bookmarkStart w:id="0" w:name="_GoBack"/>
      <w:bookmarkEnd w:id="0"/>
      <w:r w:rsidRPr="00803749">
        <w:rPr>
          <w:rFonts w:ascii="Calibri" w:eastAsia="Calibri" w:hAnsi="Calibri" w:cs="Times New Roman"/>
          <w:i/>
          <w:sz w:val="24"/>
          <w:szCs w:val="24"/>
        </w:rPr>
        <w:t xml:space="preserve">) </w:t>
      </w:r>
      <w:r w:rsidRPr="00803749">
        <w:rPr>
          <w:rFonts w:ascii="Calibri" w:eastAsia="Calibri" w:hAnsi="Calibri" w:cs="Times New Roman"/>
          <w:i/>
          <w:sz w:val="24"/>
          <w:szCs w:val="24"/>
        </w:rPr>
        <w:t>but is not a primary focus of th</w:t>
      </w:r>
      <w:r w:rsidRPr="00803749">
        <w:rPr>
          <w:rFonts w:ascii="Calibri" w:eastAsia="Calibri" w:hAnsi="Calibri" w:cs="Times New Roman"/>
          <w:i/>
          <w:sz w:val="24"/>
          <w:szCs w:val="24"/>
        </w:rPr>
        <w:t>at course.</w:t>
      </w:r>
    </w:p>
    <w:p w14:paraId="4A5E8A17"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Consider whether some part of the course </w:t>
      </w:r>
      <w:r w:rsidRPr="00803749">
        <w:rPr>
          <w:rFonts w:ascii="Calibri" w:eastAsia="Calibri" w:hAnsi="Calibri" w:cs="Times New Roman"/>
          <w:b/>
          <w:sz w:val="24"/>
          <w:szCs w:val="24"/>
          <w:u w:val="single"/>
        </w:rPr>
        <w:t>Introduces</w:t>
      </w:r>
      <w:r w:rsidRPr="00803749">
        <w:rPr>
          <w:rFonts w:ascii="Calibri" w:eastAsia="Calibri" w:hAnsi="Calibri" w:cs="Times New Roman"/>
          <w:sz w:val="24"/>
          <w:szCs w:val="24"/>
        </w:rPr>
        <w:t xml:space="preserve">, </w:t>
      </w:r>
      <w:r w:rsidRPr="00803749">
        <w:rPr>
          <w:rFonts w:ascii="Calibri" w:eastAsia="Calibri" w:hAnsi="Calibri" w:cs="Times New Roman"/>
          <w:b/>
          <w:sz w:val="24"/>
          <w:szCs w:val="24"/>
          <w:u w:val="single"/>
        </w:rPr>
        <w:t>Reinforces</w:t>
      </w:r>
      <w:r w:rsidRPr="00803749">
        <w:rPr>
          <w:rFonts w:ascii="Calibri" w:eastAsia="Calibri" w:hAnsi="Calibri" w:cs="Times New Roman"/>
          <w:sz w:val="24"/>
          <w:szCs w:val="24"/>
        </w:rPr>
        <w:t xml:space="preserve">, and or </w:t>
      </w:r>
      <w:r w:rsidRPr="00803749">
        <w:rPr>
          <w:rFonts w:ascii="Calibri" w:eastAsia="Calibri" w:hAnsi="Calibri" w:cs="Times New Roman"/>
          <w:b/>
          <w:sz w:val="24"/>
          <w:szCs w:val="24"/>
          <w:u w:val="single"/>
        </w:rPr>
        <w:t>Applies</w:t>
      </w:r>
      <w:r w:rsidRPr="00803749">
        <w:rPr>
          <w:rFonts w:ascii="Calibri" w:eastAsia="Calibri" w:hAnsi="Calibri" w:cs="Times New Roman"/>
          <w:sz w:val="24"/>
          <w:szCs w:val="24"/>
        </w:rPr>
        <w:t xml:space="preserve"> the goal/SLO being considered. If it </w:t>
      </w:r>
      <w:r w:rsidRPr="00803749">
        <w:rPr>
          <w:rFonts w:ascii="Calibri" w:eastAsia="Calibri" w:hAnsi="Calibri" w:cs="Times New Roman"/>
          <w:sz w:val="24"/>
          <w:szCs w:val="24"/>
          <w:u w:val="single"/>
        </w:rPr>
        <w:t>applies</w:t>
      </w:r>
      <w:r w:rsidRPr="00803749">
        <w:rPr>
          <w:rFonts w:ascii="Calibri" w:eastAsia="Calibri" w:hAnsi="Calibri" w:cs="Times New Roman"/>
          <w:sz w:val="24"/>
          <w:szCs w:val="24"/>
        </w:rPr>
        <w:t xml:space="preserve">, further consider whether the application takes place at the individual student level or in a group. Place an </w:t>
      </w:r>
      <w:r w:rsidRPr="00803749">
        <w:rPr>
          <w:rFonts w:ascii="Calibri" w:eastAsia="Calibri" w:hAnsi="Calibri" w:cs="Times New Roman"/>
          <w:b/>
          <w:sz w:val="24"/>
          <w:szCs w:val="24"/>
        </w:rPr>
        <w:t xml:space="preserve">“I”, </w:t>
      </w:r>
      <w:r w:rsidRPr="00803749">
        <w:rPr>
          <w:rFonts w:ascii="Calibri" w:eastAsia="Calibri" w:hAnsi="Calibri" w:cs="Times New Roman"/>
          <w:sz w:val="24"/>
          <w:szCs w:val="24"/>
        </w:rPr>
        <w:t>an</w:t>
      </w:r>
      <w:r w:rsidRPr="00803749">
        <w:rPr>
          <w:rFonts w:ascii="Calibri" w:eastAsia="Calibri" w:hAnsi="Calibri" w:cs="Times New Roman"/>
          <w:b/>
          <w:sz w:val="24"/>
          <w:szCs w:val="24"/>
        </w:rPr>
        <w:t xml:space="preserve"> “R”, </w:t>
      </w:r>
      <w:r w:rsidRPr="00803749">
        <w:rPr>
          <w:rFonts w:ascii="Calibri" w:eastAsia="Calibri" w:hAnsi="Calibri" w:cs="Times New Roman"/>
          <w:sz w:val="24"/>
          <w:szCs w:val="24"/>
        </w:rPr>
        <w:t xml:space="preserve">an </w:t>
      </w:r>
      <w:r w:rsidRPr="00803749">
        <w:rPr>
          <w:rFonts w:ascii="Calibri" w:eastAsia="Calibri" w:hAnsi="Calibri" w:cs="Times New Roman"/>
          <w:b/>
          <w:sz w:val="24"/>
          <w:szCs w:val="24"/>
        </w:rPr>
        <w:t xml:space="preserve">“AI” </w:t>
      </w:r>
      <w:r w:rsidRPr="00803749">
        <w:rPr>
          <w:rFonts w:ascii="Calibri" w:eastAsia="Calibri" w:hAnsi="Calibri" w:cs="Times New Roman"/>
          <w:sz w:val="24"/>
          <w:szCs w:val="24"/>
        </w:rPr>
        <w:t xml:space="preserve">and/or an </w:t>
      </w:r>
      <w:r w:rsidRPr="00803749">
        <w:rPr>
          <w:rFonts w:ascii="Calibri" w:eastAsia="Calibri" w:hAnsi="Calibri" w:cs="Times New Roman"/>
          <w:b/>
          <w:sz w:val="24"/>
          <w:szCs w:val="24"/>
        </w:rPr>
        <w:t xml:space="preserve">“AG” </w:t>
      </w:r>
      <w:r w:rsidRPr="00803749">
        <w:rPr>
          <w:rFonts w:ascii="Calibri" w:eastAsia="Calibri" w:hAnsi="Calibri" w:cs="Times New Roman"/>
          <w:sz w:val="24"/>
          <w:szCs w:val="24"/>
        </w:rPr>
        <w:t>in the box</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that corresponds to the goal or SLO. </w:t>
      </w:r>
    </w:p>
    <w:p w14:paraId="27E48007"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Please use the following definitions:</w:t>
      </w:r>
    </w:p>
    <w:p w14:paraId="0410670F"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Introduces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(I) </w:t>
      </w:r>
      <w:r w:rsidRPr="00803749">
        <w:rPr>
          <w:rFonts w:ascii="Calibri" w:eastAsia="Calibri" w:hAnsi="Calibri" w:cs="Times New Roman"/>
          <w:i/>
          <w:sz w:val="24"/>
          <w:szCs w:val="24"/>
        </w:rPr>
        <w:t xml:space="preserve">A new concept, likely a student’s first exposure </w:t>
      </w:r>
    </w:p>
    <w:p w14:paraId="044E6E1D"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Reinforces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(R)</w:t>
      </w:r>
      <w:r w:rsidRPr="00803749">
        <w:rPr>
          <w:rFonts w:ascii="Calibri" w:eastAsia="Calibri" w:hAnsi="Calibri" w:cs="Times New Roman"/>
          <w:i/>
          <w:sz w:val="24"/>
          <w:szCs w:val="24"/>
        </w:rPr>
        <w:t xml:space="preserve"> Furthering explanation and/or understanding of a previously introduced concept.</w:t>
      </w:r>
    </w:p>
    <w:p w14:paraId="4FE302D6"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(Individually)</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(AI)</w:t>
      </w:r>
      <w:r w:rsidRPr="00803749">
        <w:rPr>
          <w:rFonts w:ascii="Calibri" w:eastAsia="Calibri" w:hAnsi="Calibri" w:cs="Times New Roman"/>
          <w:i/>
          <w:sz w:val="24"/>
          <w:szCs w:val="24"/>
        </w:rPr>
        <w:t xml:space="preserve"> Requires “hands-on” activity of some type that is evaluated at an individual student level.</w:t>
      </w:r>
    </w:p>
    <w:p w14:paraId="52F09D57"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 a Group)</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(AG) </w:t>
      </w:r>
      <w:r w:rsidRPr="00803749">
        <w:rPr>
          <w:rFonts w:ascii="Calibri" w:eastAsia="Calibri" w:hAnsi="Calibri" w:cs="Times New Roman"/>
          <w:i/>
          <w:sz w:val="24"/>
          <w:szCs w:val="24"/>
        </w:rPr>
        <w:t>Requires “hands-on” activity of some type that is completed by a group of students working together and is evaluated at the group level.</w:t>
      </w:r>
    </w:p>
    <w:p w14:paraId="73D0E506"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803749">
        <w:rPr>
          <w:rFonts w:ascii="Calibri" w:eastAsia="Calibri" w:hAnsi="Calibri" w:cs="Times New Roman"/>
          <w:b/>
          <w:i/>
          <w:sz w:val="24"/>
          <w:szCs w:val="24"/>
          <w:u w:val="single"/>
        </w:rPr>
        <w:t>not</w:t>
      </w:r>
      <w:r w:rsidRPr="00803749">
        <w:rPr>
          <w:rFonts w:ascii="Calibri" w:eastAsia="Calibri" w:hAnsi="Calibri" w:cs="Times New Roman"/>
          <w:i/>
          <w:sz w:val="24"/>
          <w:szCs w:val="24"/>
        </w:rPr>
        <w:t xml:space="preserve"> expected that a single course will contribute to all learning goals/SLOs nor cover all levels (introducing, reinforcing, applying). Remember that each course is one piece of a broader program. Programmatic learning goals/SLOs are accomplished by the introduction, reinforcement, and application of material over the range of courses in the program. It isn’t all expected to happen in one course!)</w:t>
      </w:r>
    </w:p>
    <w:p w14:paraId="2FEF0FE4" w14:textId="77777777" w:rsidR="00FC7F1D" w:rsidRPr="00803749" w:rsidRDefault="00FC7F1D" w:rsidP="00FC7F1D">
      <w:pPr>
        <w:spacing w:after="0" w:line="240" w:lineRule="auto"/>
        <w:ind w:left="1440"/>
        <w:contextualSpacing/>
        <w:rPr>
          <w:rFonts w:ascii="Calibri" w:eastAsia="Calibri" w:hAnsi="Calibri" w:cs="Times New Roman"/>
          <w:i/>
          <w:sz w:val="24"/>
          <w:szCs w:val="24"/>
        </w:rPr>
      </w:pPr>
    </w:p>
    <w:p w14:paraId="51DB0E54" w14:textId="77777777" w:rsidR="00FC7F1D" w:rsidRPr="006B13B3" w:rsidRDefault="00FC7F1D" w:rsidP="00FC7F1D">
      <w:pPr>
        <w:spacing w:after="0"/>
        <w:ind w:left="720"/>
        <w:contextualSpacing/>
        <w:rPr>
          <w:rFonts w:ascii="Calibri" w:eastAsia="Calibri" w:hAnsi="Calibri" w:cs="Times New Roman"/>
        </w:rPr>
      </w:pPr>
    </w:p>
    <w:p w14:paraId="5BC18E4C" w14:textId="77777777" w:rsidR="00FC7F1D" w:rsidRPr="006B13B3" w:rsidRDefault="00FC7F1D" w:rsidP="00FC7F1D">
      <w:pPr>
        <w:jc w:val="center"/>
        <w:rPr>
          <w:rFonts w:ascii="Calibri" w:eastAsia="Calibri" w:hAnsi="Calibri" w:cs="Times New Roman"/>
          <w:b/>
          <w:sz w:val="28"/>
          <w:szCs w:val="28"/>
        </w:rPr>
      </w:pPr>
    </w:p>
    <w:p w14:paraId="26266539" w14:textId="77777777" w:rsidR="00803749" w:rsidRDefault="00803749" w:rsidP="00803749">
      <w:pPr>
        <w:spacing w:after="0" w:line="240" w:lineRule="auto"/>
        <w:jc w:val="center"/>
        <w:rPr>
          <w:b/>
          <w:sz w:val="48"/>
          <w:szCs w:val="48"/>
        </w:rPr>
      </w:pPr>
    </w:p>
    <w:p w14:paraId="4419C8B1" w14:textId="77777777" w:rsidR="00803749" w:rsidRDefault="00803749" w:rsidP="00803749">
      <w:pPr>
        <w:spacing w:after="0" w:line="240" w:lineRule="auto"/>
        <w:jc w:val="center"/>
        <w:rPr>
          <w:b/>
          <w:sz w:val="48"/>
          <w:szCs w:val="48"/>
        </w:rPr>
      </w:pPr>
    </w:p>
    <w:p w14:paraId="0A15D544" w14:textId="77777777" w:rsidR="00803749" w:rsidRDefault="00803749" w:rsidP="00803749">
      <w:pPr>
        <w:spacing w:after="0" w:line="240" w:lineRule="auto"/>
        <w:jc w:val="center"/>
        <w:rPr>
          <w:b/>
          <w:sz w:val="48"/>
          <w:szCs w:val="48"/>
        </w:rPr>
      </w:pPr>
    </w:p>
    <w:p w14:paraId="481F8B0A" w14:textId="40CD23DA" w:rsidR="00FC7F1D" w:rsidRPr="00B92948" w:rsidRDefault="00F0596A" w:rsidP="00803749">
      <w:pPr>
        <w:spacing w:after="0" w:line="240" w:lineRule="auto"/>
        <w:jc w:val="center"/>
        <w:rPr>
          <w:b/>
          <w:sz w:val="48"/>
          <w:szCs w:val="48"/>
        </w:rPr>
      </w:pPr>
      <w:r>
        <w:rPr>
          <w:b/>
          <w:sz w:val="48"/>
          <w:szCs w:val="48"/>
        </w:rPr>
        <w:t>Accounting</w:t>
      </w:r>
      <w:r w:rsidR="00803749" w:rsidRPr="00B92948">
        <w:rPr>
          <w:b/>
          <w:sz w:val="48"/>
          <w:szCs w:val="48"/>
        </w:rPr>
        <w:t xml:space="preserve"> Worksheet</w:t>
      </w:r>
    </w:p>
    <w:p w14:paraId="43A71FFE" w14:textId="77777777" w:rsidR="00FC7F1D" w:rsidRDefault="00FC7F1D" w:rsidP="00FC7F1D">
      <w:pPr>
        <w:spacing w:after="0" w:line="240" w:lineRule="auto"/>
        <w:rPr>
          <w:b/>
          <w:sz w:val="32"/>
          <w:szCs w:val="32"/>
        </w:rPr>
      </w:pPr>
    </w:p>
    <w:p w14:paraId="7AFF43BC" w14:textId="77777777" w:rsidR="00FC7F1D" w:rsidRDefault="00FC7F1D" w:rsidP="00FC7F1D">
      <w:pPr>
        <w:spacing w:after="0" w:line="240" w:lineRule="auto"/>
        <w:rPr>
          <w:b/>
          <w:sz w:val="32"/>
          <w:szCs w:val="32"/>
        </w:rPr>
      </w:pPr>
    </w:p>
    <w:p w14:paraId="47D13D55" w14:textId="77777777" w:rsidR="00FC7F1D" w:rsidRDefault="00FC7F1D" w:rsidP="00FC7F1D">
      <w:pPr>
        <w:spacing w:after="0" w:line="240" w:lineRule="auto"/>
        <w:rPr>
          <w:b/>
          <w:sz w:val="32"/>
          <w:szCs w:val="32"/>
        </w:rPr>
      </w:pPr>
    </w:p>
    <w:p w14:paraId="190B79B7" w14:textId="77777777" w:rsidR="00FC7F1D" w:rsidRPr="000957DD" w:rsidRDefault="00FC7F1D" w:rsidP="00FC7F1D">
      <w:pPr>
        <w:spacing w:after="0" w:line="240" w:lineRule="auto"/>
        <w:rPr>
          <w:b/>
          <w:sz w:val="32"/>
          <w:szCs w:val="32"/>
        </w:rPr>
      </w:pPr>
    </w:p>
    <w:tbl>
      <w:tblPr>
        <w:tblStyle w:val="TableGrid"/>
        <w:tblpPr w:leftFromText="180" w:rightFromText="180" w:vertAnchor="page" w:horzAnchor="margin" w:tblpY="2256"/>
        <w:tblW w:w="8928" w:type="dxa"/>
        <w:tblLook w:val="04A0" w:firstRow="1" w:lastRow="0" w:firstColumn="1" w:lastColumn="0" w:noHBand="0" w:noVBand="1"/>
      </w:tblPr>
      <w:tblGrid>
        <w:gridCol w:w="6281"/>
        <w:gridCol w:w="1263"/>
        <w:gridCol w:w="1384"/>
      </w:tblGrid>
      <w:tr w:rsidR="00F0596A" w:rsidRPr="000F3EA8" w14:paraId="31CDE741" w14:textId="77777777" w:rsidTr="00F0596A">
        <w:trPr>
          <w:trHeight w:val="1133"/>
        </w:trPr>
        <w:tc>
          <w:tcPr>
            <w:tcW w:w="6281" w:type="dxa"/>
            <w:noWrap/>
          </w:tcPr>
          <w:p w14:paraId="37EC12A1" w14:textId="7E21AAE1" w:rsidR="00F0596A" w:rsidRPr="007A0B97" w:rsidRDefault="00F0596A" w:rsidP="00F0596A">
            <w:pPr>
              <w:rPr>
                <w:b/>
                <w:bCs/>
                <w:sz w:val="40"/>
                <w:szCs w:val="40"/>
              </w:rPr>
            </w:pPr>
            <w:r>
              <w:rPr>
                <w:b/>
                <w:bCs/>
                <w:sz w:val="40"/>
                <w:szCs w:val="40"/>
              </w:rPr>
              <w:t>Course:</w:t>
            </w:r>
          </w:p>
        </w:tc>
        <w:tc>
          <w:tcPr>
            <w:tcW w:w="2647" w:type="dxa"/>
            <w:gridSpan w:val="2"/>
            <w:noWrap/>
            <w:hideMark/>
          </w:tcPr>
          <w:p w14:paraId="76938A05" w14:textId="77777777" w:rsidR="00F0596A" w:rsidRDefault="00F0596A" w:rsidP="00F0596A"/>
          <w:p w14:paraId="1522D25D" w14:textId="77777777" w:rsidR="00F0596A" w:rsidRDefault="00F0596A" w:rsidP="00F0596A"/>
          <w:p w14:paraId="73ECE6AA" w14:textId="77777777" w:rsidR="00F0596A" w:rsidRDefault="00F0596A" w:rsidP="00F0596A"/>
          <w:p w14:paraId="625A0064" w14:textId="6CA57B96" w:rsidR="00F0596A" w:rsidRPr="007A0B97" w:rsidRDefault="00F0596A" w:rsidP="00F0596A">
            <w:pPr>
              <w:rPr>
                <w:b/>
              </w:rPr>
            </w:pPr>
          </w:p>
        </w:tc>
      </w:tr>
      <w:tr w:rsidR="00F0596A" w:rsidRPr="00C67E5D" w14:paraId="1980657C" w14:textId="77777777" w:rsidTr="00F0596A">
        <w:trPr>
          <w:trHeight w:val="921"/>
        </w:trPr>
        <w:tc>
          <w:tcPr>
            <w:tcW w:w="6281" w:type="dxa"/>
            <w:noWrap/>
          </w:tcPr>
          <w:p w14:paraId="432D63CF" w14:textId="23832174" w:rsidR="00F0596A" w:rsidRPr="00F0596A" w:rsidRDefault="00F0596A" w:rsidP="00F0596A">
            <w:pPr>
              <w:rPr>
                <w:b/>
                <w:bCs/>
                <w:sz w:val="32"/>
                <w:szCs w:val="32"/>
              </w:rPr>
            </w:pPr>
            <w:r w:rsidRPr="00F0596A">
              <w:rPr>
                <w:b/>
                <w:bCs/>
                <w:sz w:val="32"/>
                <w:szCs w:val="32"/>
              </w:rPr>
              <w:t>Accounting Major Degree Learning Outcomes</w:t>
            </w:r>
          </w:p>
        </w:tc>
        <w:tc>
          <w:tcPr>
            <w:tcW w:w="1263" w:type="dxa"/>
            <w:noWrap/>
          </w:tcPr>
          <w:p w14:paraId="3F5AC2B5" w14:textId="77777777" w:rsidR="00F0596A" w:rsidRPr="007A0B97" w:rsidRDefault="00F0596A" w:rsidP="00F0596A">
            <w:pPr>
              <w:jc w:val="center"/>
              <w:rPr>
                <w:b/>
                <w:sz w:val="32"/>
                <w:szCs w:val="32"/>
              </w:rPr>
            </w:pPr>
            <w:r w:rsidRPr="007A0B97">
              <w:rPr>
                <w:b/>
                <w:sz w:val="32"/>
                <w:szCs w:val="32"/>
              </w:rPr>
              <w:t>Primary</w:t>
            </w:r>
          </w:p>
          <w:p w14:paraId="17EC70AC" w14:textId="77777777" w:rsidR="00F0596A" w:rsidRPr="00B12AB9" w:rsidRDefault="00F0596A" w:rsidP="00F0596A">
            <w:pPr>
              <w:jc w:val="center"/>
              <w:rPr>
                <w:sz w:val="16"/>
                <w:szCs w:val="16"/>
              </w:rPr>
            </w:pPr>
            <w:r w:rsidRPr="007A0B97">
              <w:rPr>
                <w:b/>
                <w:sz w:val="32"/>
                <w:szCs w:val="32"/>
              </w:rPr>
              <w:t>Focus?</w:t>
            </w:r>
          </w:p>
        </w:tc>
        <w:tc>
          <w:tcPr>
            <w:tcW w:w="1384" w:type="dxa"/>
          </w:tcPr>
          <w:p w14:paraId="64AB44EF" w14:textId="77777777" w:rsidR="00F0596A" w:rsidRPr="007A0B97" w:rsidRDefault="00F0596A" w:rsidP="00F0596A">
            <w:pPr>
              <w:jc w:val="center"/>
              <w:rPr>
                <w:b/>
                <w:sz w:val="36"/>
                <w:szCs w:val="36"/>
              </w:rPr>
            </w:pPr>
            <w:r w:rsidRPr="007A0B97">
              <w:rPr>
                <w:b/>
                <w:sz w:val="36"/>
                <w:szCs w:val="36"/>
              </w:rPr>
              <w:t>I, R, A</w:t>
            </w:r>
            <w:r>
              <w:rPr>
                <w:b/>
                <w:sz w:val="36"/>
                <w:szCs w:val="36"/>
              </w:rPr>
              <w:t>I, AG</w:t>
            </w:r>
            <w:r w:rsidRPr="007A0B97">
              <w:rPr>
                <w:b/>
                <w:sz w:val="36"/>
                <w:szCs w:val="36"/>
              </w:rPr>
              <w:t>?</w:t>
            </w:r>
          </w:p>
        </w:tc>
      </w:tr>
      <w:tr w:rsidR="00F0596A" w:rsidRPr="00C67E5D" w14:paraId="0DA48C12" w14:textId="77777777" w:rsidTr="00F0596A">
        <w:trPr>
          <w:trHeight w:val="737"/>
        </w:trPr>
        <w:tc>
          <w:tcPr>
            <w:tcW w:w="6281" w:type="dxa"/>
            <w:noWrap/>
          </w:tcPr>
          <w:p w14:paraId="6DC205A9" w14:textId="77777777" w:rsidR="00F0596A" w:rsidRPr="006E7154" w:rsidRDefault="00F0596A" w:rsidP="00F0596A">
            <w:pPr>
              <w:rPr>
                <w:bCs/>
                <w:sz w:val="24"/>
                <w:szCs w:val="24"/>
              </w:rPr>
            </w:pPr>
            <w:r w:rsidRPr="006E7154">
              <w:rPr>
                <w:b/>
                <w:bCs/>
                <w:sz w:val="24"/>
                <w:szCs w:val="24"/>
              </w:rPr>
              <w:t xml:space="preserve">SLO 1.1 </w:t>
            </w:r>
            <w:r>
              <w:rPr>
                <w:bCs/>
                <w:sz w:val="24"/>
                <w:szCs w:val="24"/>
              </w:rPr>
              <w:t>– Identify, measure, classify, present &amp; disclose financial info in accordance with professional standards.</w:t>
            </w:r>
          </w:p>
        </w:tc>
        <w:tc>
          <w:tcPr>
            <w:tcW w:w="1263" w:type="dxa"/>
            <w:noWrap/>
            <w:hideMark/>
          </w:tcPr>
          <w:p w14:paraId="47600667" w14:textId="77777777" w:rsidR="00F0596A" w:rsidRPr="00B60636" w:rsidRDefault="00F0596A" w:rsidP="00F0596A">
            <w:pPr>
              <w:jc w:val="center"/>
            </w:pPr>
          </w:p>
        </w:tc>
        <w:tc>
          <w:tcPr>
            <w:tcW w:w="1384" w:type="dxa"/>
          </w:tcPr>
          <w:p w14:paraId="49E2675F" w14:textId="77777777" w:rsidR="00F0596A" w:rsidRPr="00B60636" w:rsidRDefault="00F0596A" w:rsidP="00F0596A">
            <w:pPr>
              <w:jc w:val="center"/>
            </w:pPr>
          </w:p>
        </w:tc>
      </w:tr>
      <w:tr w:rsidR="00F0596A" w:rsidRPr="00C67E5D" w14:paraId="6FC56CF0" w14:textId="77777777" w:rsidTr="00F0596A">
        <w:trPr>
          <w:trHeight w:val="886"/>
        </w:trPr>
        <w:tc>
          <w:tcPr>
            <w:tcW w:w="6281" w:type="dxa"/>
            <w:noWrap/>
            <w:hideMark/>
          </w:tcPr>
          <w:p w14:paraId="7C9E38DF" w14:textId="77777777" w:rsidR="00F0596A" w:rsidRPr="006E7154" w:rsidRDefault="00F0596A" w:rsidP="00F0596A">
            <w:pPr>
              <w:rPr>
                <w:iCs/>
                <w:sz w:val="24"/>
                <w:szCs w:val="24"/>
              </w:rPr>
            </w:pPr>
            <w:r>
              <w:rPr>
                <w:b/>
                <w:iCs/>
                <w:sz w:val="24"/>
                <w:szCs w:val="24"/>
              </w:rPr>
              <w:t xml:space="preserve">SLO 1.2 – </w:t>
            </w:r>
            <w:r>
              <w:rPr>
                <w:iCs/>
                <w:sz w:val="24"/>
                <w:szCs w:val="24"/>
              </w:rPr>
              <w:t>Gather &amp; consolidate accounting data to analyze &amp; provide accounting info for reports &amp; analysis to assist in mgmt decision making.</w:t>
            </w:r>
          </w:p>
        </w:tc>
        <w:tc>
          <w:tcPr>
            <w:tcW w:w="1263" w:type="dxa"/>
            <w:noWrap/>
            <w:hideMark/>
          </w:tcPr>
          <w:p w14:paraId="5CF8B4E7" w14:textId="77777777" w:rsidR="00F0596A" w:rsidRPr="00B60636" w:rsidRDefault="00F0596A" w:rsidP="00F0596A">
            <w:pPr>
              <w:jc w:val="center"/>
            </w:pPr>
          </w:p>
        </w:tc>
        <w:tc>
          <w:tcPr>
            <w:tcW w:w="1384" w:type="dxa"/>
          </w:tcPr>
          <w:p w14:paraId="4C40DF5A" w14:textId="77777777" w:rsidR="00F0596A" w:rsidRPr="00B60636" w:rsidRDefault="00F0596A" w:rsidP="00F0596A">
            <w:pPr>
              <w:jc w:val="center"/>
            </w:pPr>
          </w:p>
        </w:tc>
      </w:tr>
      <w:tr w:rsidR="00F0596A" w:rsidRPr="00C67E5D" w14:paraId="3818D502" w14:textId="77777777" w:rsidTr="00F0596A">
        <w:trPr>
          <w:trHeight w:val="886"/>
        </w:trPr>
        <w:tc>
          <w:tcPr>
            <w:tcW w:w="6281" w:type="dxa"/>
            <w:noWrap/>
            <w:hideMark/>
          </w:tcPr>
          <w:p w14:paraId="03F12CF3" w14:textId="77777777" w:rsidR="00F0596A" w:rsidRPr="006E7154" w:rsidRDefault="00F0596A" w:rsidP="00F0596A">
            <w:pPr>
              <w:rPr>
                <w:bCs/>
                <w:iCs/>
                <w:sz w:val="24"/>
                <w:szCs w:val="24"/>
              </w:rPr>
            </w:pPr>
            <w:r>
              <w:rPr>
                <w:b/>
                <w:bCs/>
                <w:iCs/>
                <w:sz w:val="24"/>
                <w:szCs w:val="24"/>
              </w:rPr>
              <w:t>SLO 1.3</w:t>
            </w:r>
            <w:r>
              <w:rPr>
                <w:bCs/>
                <w:iCs/>
                <w:sz w:val="24"/>
                <w:szCs w:val="24"/>
              </w:rPr>
              <w:t xml:space="preserve"> – Evaluate strengths &amp;weaknesses of a company’s business process transaction cycles &amp; make recommendations.</w:t>
            </w:r>
          </w:p>
        </w:tc>
        <w:tc>
          <w:tcPr>
            <w:tcW w:w="1263" w:type="dxa"/>
            <w:noWrap/>
          </w:tcPr>
          <w:p w14:paraId="56562032" w14:textId="77777777" w:rsidR="00F0596A" w:rsidRPr="00B60636" w:rsidRDefault="00F0596A" w:rsidP="00F0596A">
            <w:pPr>
              <w:jc w:val="center"/>
              <w:rPr>
                <w:b/>
                <w:bCs/>
                <w:iCs/>
              </w:rPr>
            </w:pPr>
          </w:p>
        </w:tc>
        <w:tc>
          <w:tcPr>
            <w:tcW w:w="1384" w:type="dxa"/>
          </w:tcPr>
          <w:p w14:paraId="411E07AA" w14:textId="77777777" w:rsidR="00F0596A" w:rsidRPr="00B60636" w:rsidRDefault="00F0596A" w:rsidP="00F0596A">
            <w:pPr>
              <w:jc w:val="center"/>
              <w:rPr>
                <w:b/>
                <w:bCs/>
                <w:iCs/>
              </w:rPr>
            </w:pPr>
          </w:p>
        </w:tc>
      </w:tr>
      <w:tr w:rsidR="00F0596A" w:rsidRPr="00C67E5D" w14:paraId="1565E961" w14:textId="77777777" w:rsidTr="00F0596A">
        <w:trPr>
          <w:trHeight w:val="787"/>
        </w:trPr>
        <w:tc>
          <w:tcPr>
            <w:tcW w:w="6281" w:type="dxa"/>
            <w:noWrap/>
          </w:tcPr>
          <w:p w14:paraId="2BB075CF" w14:textId="77777777" w:rsidR="00F0596A" w:rsidRPr="006E7154" w:rsidRDefault="00F0596A" w:rsidP="00F0596A">
            <w:pPr>
              <w:rPr>
                <w:bCs/>
                <w:iCs/>
                <w:sz w:val="24"/>
                <w:szCs w:val="24"/>
              </w:rPr>
            </w:pPr>
            <w:r>
              <w:rPr>
                <w:b/>
                <w:bCs/>
                <w:iCs/>
                <w:sz w:val="24"/>
                <w:szCs w:val="24"/>
              </w:rPr>
              <w:t xml:space="preserve">SLO 1.4 </w:t>
            </w:r>
            <w:r>
              <w:rPr>
                <w:bCs/>
                <w:iCs/>
                <w:sz w:val="24"/>
                <w:szCs w:val="24"/>
              </w:rPr>
              <w:t>– Determine income tax of taxable entities in order to assess effects of personal, investment &amp; business transactions on their tax and after-tax cash flows.</w:t>
            </w:r>
          </w:p>
        </w:tc>
        <w:tc>
          <w:tcPr>
            <w:tcW w:w="1263" w:type="dxa"/>
            <w:noWrap/>
          </w:tcPr>
          <w:p w14:paraId="2BA45600" w14:textId="77777777" w:rsidR="00F0596A" w:rsidRPr="00B60636" w:rsidRDefault="00F0596A" w:rsidP="00F0596A">
            <w:pPr>
              <w:jc w:val="center"/>
              <w:rPr>
                <w:b/>
                <w:bCs/>
                <w:iCs/>
              </w:rPr>
            </w:pPr>
          </w:p>
        </w:tc>
        <w:tc>
          <w:tcPr>
            <w:tcW w:w="1384" w:type="dxa"/>
          </w:tcPr>
          <w:p w14:paraId="5A8402A2" w14:textId="77777777" w:rsidR="00F0596A" w:rsidRPr="00B60636" w:rsidRDefault="00F0596A" w:rsidP="00F0596A">
            <w:pPr>
              <w:jc w:val="center"/>
              <w:rPr>
                <w:b/>
                <w:bCs/>
                <w:iCs/>
              </w:rPr>
            </w:pPr>
          </w:p>
        </w:tc>
      </w:tr>
      <w:tr w:rsidR="00F0596A" w:rsidRPr="00C67E5D" w14:paraId="6D3E0B87" w14:textId="77777777" w:rsidTr="00F0596A">
        <w:trPr>
          <w:trHeight w:val="787"/>
        </w:trPr>
        <w:tc>
          <w:tcPr>
            <w:tcW w:w="6281" w:type="dxa"/>
            <w:noWrap/>
          </w:tcPr>
          <w:p w14:paraId="01B6F0A1" w14:textId="77777777" w:rsidR="00F0596A" w:rsidRPr="006E7154" w:rsidRDefault="00F0596A" w:rsidP="00F0596A">
            <w:pPr>
              <w:rPr>
                <w:bCs/>
                <w:iCs/>
                <w:sz w:val="24"/>
                <w:szCs w:val="24"/>
              </w:rPr>
            </w:pPr>
            <w:r>
              <w:rPr>
                <w:b/>
                <w:bCs/>
                <w:iCs/>
                <w:sz w:val="24"/>
                <w:szCs w:val="24"/>
              </w:rPr>
              <w:t>SLO 1.5</w:t>
            </w:r>
            <w:r>
              <w:rPr>
                <w:bCs/>
                <w:iCs/>
                <w:sz w:val="24"/>
                <w:szCs w:val="24"/>
              </w:rPr>
              <w:t xml:space="preserve"> – Evaluate &amp; communicate the reliability of organization info by applying professional standards.</w:t>
            </w:r>
          </w:p>
        </w:tc>
        <w:tc>
          <w:tcPr>
            <w:tcW w:w="1263" w:type="dxa"/>
            <w:noWrap/>
          </w:tcPr>
          <w:p w14:paraId="623A016A" w14:textId="77777777" w:rsidR="00F0596A" w:rsidRPr="00B60636" w:rsidRDefault="00F0596A" w:rsidP="00F0596A">
            <w:pPr>
              <w:jc w:val="center"/>
              <w:rPr>
                <w:b/>
                <w:bCs/>
                <w:iCs/>
              </w:rPr>
            </w:pPr>
          </w:p>
        </w:tc>
        <w:tc>
          <w:tcPr>
            <w:tcW w:w="1384" w:type="dxa"/>
          </w:tcPr>
          <w:p w14:paraId="665530CD" w14:textId="77777777" w:rsidR="00F0596A" w:rsidRPr="00B60636" w:rsidRDefault="00F0596A" w:rsidP="00F0596A">
            <w:pPr>
              <w:jc w:val="center"/>
              <w:rPr>
                <w:b/>
                <w:bCs/>
                <w:iCs/>
              </w:rPr>
            </w:pPr>
          </w:p>
        </w:tc>
      </w:tr>
      <w:tr w:rsidR="00F0596A" w:rsidRPr="00C67E5D" w14:paraId="527054AC" w14:textId="77777777" w:rsidTr="00F0596A">
        <w:trPr>
          <w:trHeight w:val="787"/>
        </w:trPr>
        <w:tc>
          <w:tcPr>
            <w:tcW w:w="6281" w:type="dxa"/>
            <w:noWrap/>
          </w:tcPr>
          <w:p w14:paraId="004D18D5" w14:textId="77777777" w:rsidR="00F0596A" w:rsidRPr="006E7154" w:rsidRDefault="00F0596A" w:rsidP="00F0596A">
            <w:pPr>
              <w:rPr>
                <w:bCs/>
                <w:iCs/>
                <w:sz w:val="24"/>
                <w:szCs w:val="24"/>
              </w:rPr>
            </w:pPr>
            <w:r>
              <w:rPr>
                <w:b/>
                <w:bCs/>
                <w:iCs/>
                <w:sz w:val="24"/>
                <w:szCs w:val="24"/>
              </w:rPr>
              <w:t xml:space="preserve">SLO 2.11a </w:t>
            </w:r>
            <w:r>
              <w:rPr>
                <w:bCs/>
                <w:iCs/>
                <w:sz w:val="24"/>
                <w:szCs w:val="24"/>
              </w:rPr>
              <w:t>– Present professional oral reports for accounting related topics.</w:t>
            </w:r>
          </w:p>
        </w:tc>
        <w:tc>
          <w:tcPr>
            <w:tcW w:w="1263" w:type="dxa"/>
            <w:noWrap/>
          </w:tcPr>
          <w:p w14:paraId="28BE4E51" w14:textId="77777777" w:rsidR="00F0596A" w:rsidRPr="00B60636" w:rsidRDefault="00F0596A" w:rsidP="00F0596A">
            <w:pPr>
              <w:jc w:val="center"/>
              <w:rPr>
                <w:b/>
                <w:bCs/>
                <w:iCs/>
              </w:rPr>
            </w:pPr>
          </w:p>
        </w:tc>
        <w:tc>
          <w:tcPr>
            <w:tcW w:w="1384" w:type="dxa"/>
          </w:tcPr>
          <w:p w14:paraId="27CF2FFA" w14:textId="77777777" w:rsidR="00F0596A" w:rsidRPr="00B60636" w:rsidRDefault="00F0596A" w:rsidP="00F0596A">
            <w:pPr>
              <w:jc w:val="center"/>
              <w:rPr>
                <w:b/>
                <w:bCs/>
                <w:iCs/>
              </w:rPr>
            </w:pPr>
          </w:p>
        </w:tc>
      </w:tr>
      <w:tr w:rsidR="00F0596A" w:rsidRPr="00C67E5D" w14:paraId="1A2668E0" w14:textId="77777777" w:rsidTr="00F0596A">
        <w:trPr>
          <w:trHeight w:val="787"/>
        </w:trPr>
        <w:tc>
          <w:tcPr>
            <w:tcW w:w="6281" w:type="dxa"/>
            <w:noWrap/>
          </w:tcPr>
          <w:p w14:paraId="3A6D35EF" w14:textId="77777777" w:rsidR="00F0596A" w:rsidRPr="006E7154" w:rsidRDefault="00F0596A" w:rsidP="00F0596A">
            <w:pPr>
              <w:rPr>
                <w:bCs/>
                <w:iCs/>
                <w:sz w:val="24"/>
                <w:szCs w:val="24"/>
              </w:rPr>
            </w:pPr>
            <w:r>
              <w:rPr>
                <w:b/>
                <w:bCs/>
                <w:iCs/>
                <w:sz w:val="24"/>
                <w:szCs w:val="24"/>
              </w:rPr>
              <w:t>SLO 2.11b</w:t>
            </w:r>
            <w:r>
              <w:rPr>
                <w:bCs/>
                <w:iCs/>
                <w:sz w:val="24"/>
                <w:szCs w:val="24"/>
              </w:rPr>
              <w:t xml:space="preserve"> – Demonstrate team and leadership techniques in accounting contexts. </w:t>
            </w:r>
          </w:p>
        </w:tc>
        <w:tc>
          <w:tcPr>
            <w:tcW w:w="1263" w:type="dxa"/>
            <w:noWrap/>
          </w:tcPr>
          <w:p w14:paraId="0ABAD770" w14:textId="77777777" w:rsidR="00F0596A" w:rsidRPr="00B60636" w:rsidRDefault="00F0596A" w:rsidP="00F0596A">
            <w:pPr>
              <w:jc w:val="center"/>
              <w:rPr>
                <w:b/>
                <w:bCs/>
                <w:iCs/>
              </w:rPr>
            </w:pPr>
          </w:p>
        </w:tc>
        <w:tc>
          <w:tcPr>
            <w:tcW w:w="1384" w:type="dxa"/>
          </w:tcPr>
          <w:p w14:paraId="3CE78D59" w14:textId="77777777" w:rsidR="00F0596A" w:rsidRPr="00B60636" w:rsidRDefault="00F0596A" w:rsidP="00F0596A">
            <w:pPr>
              <w:jc w:val="center"/>
              <w:rPr>
                <w:b/>
                <w:bCs/>
                <w:iCs/>
              </w:rPr>
            </w:pPr>
          </w:p>
        </w:tc>
      </w:tr>
      <w:tr w:rsidR="00F0596A" w:rsidRPr="00C67E5D" w14:paraId="2EFD8225" w14:textId="77777777" w:rsidTr="00F0596A">
        <w:trPr>
          <w:trHeight w:val="787"/>
        </w:trPr>
        <w:tc>
          <w:tcPr>
            <w:tcW w:w="6281" w:type="dxa"/>
            <w:noWrap/>
          </w:tcPr>
          <w:p w14:paraId="4E920F2C" w14:textId="77777777" w:rsidR="00F0596A" w:rsidRPr="006E7154" w:rsidRDefault="00F0596A" w:rsidP="00F0596A">
            <w:pPr>
              <w:rPr>
                <w:bCs/>
                <w:iCs/>
                <w:sz w:val="24"/>
                <w:szCs w:val="24"/>
              </w:rPr>
            </w:pPr>
            <w:r>
              <w:rPr>
                <w:b/>
                <w:bCs/>
                <w:iCs/>
                <w:sz w:val="24"/>
                <w:szCs w:val="24"/>
              </w:rPr>
              <w:t>SLO 2.12</w:t>
            </w:r>
            <w:r>
              <w:rPr>
                <w:bCs/>
                <w:iCs/>
                <w:sz w:val="24"/>
                <w:szCs w:val="24"/>
              </w:rPr>
              <w:t xml:space="preserve"> – Prepare professional written reports for accounting related topics.</w:t>
            </w:r>
          </w:p>
        </w:tc>
        <w:tc>
          <w:tcPr>
            <w:tcW w:w="1263" w:type="dxa"/>
            <w:noWrap/>
          </w:tcPr>
          <w:p w14:paraId="545CF4DB" w14:textId="77777777" w:rsidR="00F0596A" w:rsidRPr="00B60636" w:rsidRDefault="00F0596A" w:rsidP="00F0596A">
            <w:pPr>
              <w:jc w:val="center"/>
              <w:rPr>
                <w:b/>
                <w:bCs/>
                <w:iCs/>
              </w:rPr>
            </w:pPr>
          </w:p>
        </w:tc>
        <w:tc>
          <w:tcPr>
            <w:tcW w:w="1384" w:type="dxa"/>
          </w:tcPr>
          <w:p w14:paraId="0D2A68A7" w14:textId="77777777" w:rsidR="00F0596A" w:rsidRPr="00B60636" w:rsidRDefault="00F0596A" w:rsidP="00F0596A">
            <w:pPr>
              <w:jc w:val="center"/>
              <w:rPr>
                <w:b/>
                <w:bCs/>
                <w:iCs/>
              </w:rPr>
            </w:pPr>
          </w:p>
        </w:tc>
      </w:tr>
      <w:tr w:rsidR="00F0596A" w:rsidRPr="00C67E5D" w14:paraId="4BC871E8" w14:textId="77777777" w:rsidTr="00F0596A">
        <w:trPr>
          <w:trHeight w:val="787"/>
        </w:trPr>
        <w:tc>
          <w:tcPr>
            <w:tcW w:w="6281" w:type="dxa"/>
            <w:tcBorders>
              <w:bottom w:val="single" w:sz="18" w:space="0" w:color="auto"/>
            </w:tcBorders>
            <w:noWrap/>
          </w:tcPr>
          <w:p w14:paraId="4E76971D" w14:textId="77777777" w:rsidR="00F0596A" w:rsidRPr="006E7154" w:rsidRDefault="00F0596A" w:rsidP="00F0596A">
            <w:pPr>
              <w:rPr>
                <w:bCs/>
                <w:iCs/>
                <w:sz w:val="24"/>
                <w:szCs w:val="24"/>
              </w:rPr>
            </w:pPr>
            <w:r>
              <w:rPr>
                <w:b/>
                <w:bCs/>
                <w:iCs/>
                <w:sz w:val="24"/>
                <w:szCs w:val="24"/>
              </w:rPr>
              <w:t>SLO 2.2</w:t>
            </w:r>
            <w:r>
              <w:rPr>
                <w:bCs/>
                <w:iCs/>
                <w:sz w:val="24"/>
                <w:szCs w:val="24"/>
              </w:rPr>
              <w:t xml:space="preserve"> – Apply ethical rules, theories, &amp; regulatory guidelines to the practice of public, private, &amp; tax accounting; understand need for professional integrity and objectivity.</w:t>
            </w:r>
          </w:p>
        </w:tc>
        <w:tc>
          <w:tcPr>
            <w:tcW w:w="1263" w:type="dxa"/>
            <w:tcBorders>
              <w:bottom w:val="single" w:sz="18" w:space="0" w:color="auto"/>
            </w:tcBorders>
            <w:noWrap/>
          </w:tcPr>
          <w:p w14:paraId="36900CED" w14:textId="77777777" w:rsidR="00F0596A" w:rsidRPr="00B60636" w:rsidRDefault="00F0596A" w:rsidP="00F0596A">
            <w:pPr>
              <w:jc w:val="center"/>
              <w:rPr>
                <w:b/>
                <w:bCs/>
                <w:iCs/>
              </w:rPr>
            </w:pPr>
          </w:p>
        </w:tc>
        <w:tc>
          <w:tcPr>
            <w:tcW w:w="1384" w:type="dxa"/>
            <w:tcBorders>
              <w:bottom w:val="single" w:sz="18" w:space="0" w:color="auto"/>
            </w:tcBorders>
          </w:tcPr>
          <w:p w14:paraId="4F4CAE52" w14:textId="77777777" w:rsidR="00F0596A" w:rsidRPr="00B60636" w:rsidRDefault="00F0596A" w:rsidP="00F0596A">
            <w:pPr>
              <w:jc w:val="center"/>
              <w:rPr>
                <w:b/>
                <w:bCs/>
                <w:iCs/>
              </w:rPr>
            </w:pPr>
          </w:p>
        </w:tc>
      </w:tr>
    </w:tbl>
    <w:p w14:paraId="309A385E" w14:textId="77777777" w:rsidR="00D445A9" w:rsidRPr="00E131D4" w:rsidRDefault="00D445A9" w:rsidP="00714EE2">
      <w:pPr>
        <w:jc w:val="center"/>
        <w:rPr>
          <w:b/>
          <w:sz w:val="32"/>
          <w:szCs w:val="32"/>
        </w:rPr>
      </w:pPr>
    </w:p>
    <w:sectPr w:rsidR="00D445A9" w:rsidRPr="00E131D4" w:rsidSect="0090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FE0"/>
    <w:multiLevelType w:val="hybridMultilevel"/>
    <w:tmpl w:val="E78A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30D11"/>
    <w:multiLevelType w:val="hybridMultilevel"/>
    <w:tmpl w:val="947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D53974"/>
    <w:multiLevelType w:val="hybridMultilevel"/>
    <w:tmpl w:val="A99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DE0CA2"/>
    <w:multiLevelType w:val="hybridMultilevel"/>
    <w:tmpl w:val="B03A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820B2"/>
    <w:multiLevelType w:val="hybridMultilevel"/>
    <w:tmpl w:val="F6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D"/>
    <w:rsid w:val="00036BF0"/>
    <w:rsid w:val="0005502D"/>
    <w:rsid w:val="000957DD"/>
    <w:rsid w:val="00097103"/>
    <w:rsid w:val="000B3550"/>
    <w:rsid w:val="00113E08"/>
    <w:rsid w:val="001B6A52"/>
    <w:rsid w:val="002064E8"/>
    <w:rsid w:val="0051791D"/>
    <w:rsid w:val="005A751B"/>
    <w:rsid w:val="005D35DA"/>
    <w:rsid w:val="005E2B08"/>
    <w:rsid w:val="00616801"/>
    <w:rsid w:val="00714EE2"/>
    <w:rsid w:val="00803749"/>
    <w:rsid w:val="008C4022"/>
    <w:rsid w:val="00901ECD"/>
    <w:rsid w:val="009255A2"/>
    <w:rsid w:val="00967365"/>
    <w:rsid w:val="0097249B"/>
    <w:rsid w:val="00A2437D"/>
    <w:rsid w:val="00A37CE4"/>
    <w:rsid w:val="00AD573B"/>
    <w:rsid w:val="00B92948"/>
    <w:rsid w:val="00D445A9"/>
    <w:rsid w:val="00E131D4"/>
    <w:rsid w:val="00EF05C4"/>
    <w:rsid w:val="00F0596A"/>
    <w:rsid w:val="00FC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84F"/>
  <w15:docId w15:val="{EF930091-1400-4DF5-A299-F86A2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CD"/>
    <w:pPr>
      <w:ind w:left="720"/>
      <w:contextualSpacing/>
    </w:pPr>
  </w:style>
  <w:style w:type="paragraph" w:styleId="CommentText">
    <w:name w:val="annotation text"/>
    <w:basedOn w:val="Normal"/>
    <w:link w:val="CommentTextChar"/>
    <w:uiPriority w:val="99"/>
    <w:semiHidden/>
    <w:unhideWhenUsed/>
    <w:rsid w:val="00901ECD"/>
    <w:pPr>
      <w:spacing w:line="240" w:lineRule="auto"/>
    </w:pPr>
    <w:rPr>
      <w:sz w:val="20"/>
      <w:szCs w:val="20"/>
    </w:rPr>
  </w:style>
  <w:style w:type="character" w:customStyle="1" w:styleId="CommentTextChar">
    <w:name w:val="Comment Text Char"/>
    <w:basedOn w:val="DefaultParagraphFont"/>
    <w:link w:val="CommentText"/>
    <w:uiPriority w:val="99"/>
    <w:semiHidden/>
    <w:rsid w:val="00901ECD"/>
    <w:rPr>
      <w:sz w:val="20"/>
      <w:szCs w:val="20"/>
    </w:rPr>
  </w:style>
  <w:style w:type="character" w:styleId="CommentReference">
    <w:name w:val="annotation reference"/>
    <w:basedOn w:val="DefaultParagraphFont"/>
    <w:uiPriority w:val="99"/>
    <w:semiHidden/>
    <w:unhideWhenUsed/>
    <w:rsid w:val="00901ECD"/>
    <w:rPr>
      <w:sz w:val="16"/>
      <w:szCs w:val="16"/>
    </w:rPr>
  </w:style>
  <w:style w:type="paragraph" w:styleId="BalloonText">
    <w:name w:val="Balloon Text"/>
    <w:basedOn w:val="Normal"/>
    <w:link w:val="BalloonTextChar"/>
    <w:uiPriority w:val="99"/>
    <w:semiHidden/>
    <w:unhideWhenUsed/>
    <w:rsid w:val="0090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D"/>
    <w:rPr>
      <w:rFonts w:ascii="Tahoma" w:hAnsi="Tahoma" w:cs="Tahoma"/>
      <w:sz w:val="16"/>
      <w:szCs w:val="16"/>
    </w:rPr>
  </w:style>
  <w:style w:type="table" w:styleId="TableGrid">
    <w:name w:val="Table Grid"/>
    <w:basedOn w:val="TableNormal"/>
    <w:uiPriority w:val="59"/>
    <w:rsid w:val="0090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F1D"/>
    <w:rPr>
      <w:color w:val="0000FF" w:themeColor="hyperlink"/>
      <w:u w:val="single"/>
    </w:rPr>
  </w:style>
  <w:style w:type="character" w:styleId="FollowedHyperlink">
    <w:name w:val="FollowedHyperlink"/>
    <w:basedOn w:val="DefaultParagraphFont"/>
    <w:uiPriority w:val="99"/>
    <w:semiHidden/>
    <w:unhideWhenUsed/>
    <w:rsid w:val="0080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713">
      <w:bodyDiv w:val="1"/>
      <w:marLeft w:val="0"/>
      <w:marRight w:val="0"/>
      <w:marTop w:val="0"/>
      <w:marBottom w:val="0"/>
      <w:divBdr>
        <w:top w:val="none" w:sz="0" w:space="0" w:color="auto"/>
        <w:left w:val="none" w:sz="0" w:space="0" w:color="auto"/>
        <w:bottom w:val="none" w:sz="0" w:space="0" w:color="auto"/>
        <w:right w:val="none" w:sz="0" w:space="0" w:color="auto"/>
      </w:divBdr>
    </w:div>
    <w:div w:id="1934122660">
      <w:bodyDiv w:val="1"/>
      <w:marLeft w:val="0"/>
      <w:marRight w:val="0"/>
      <w:marTop w:val="0"/>
      <w:marBottom w:val="0"/>
      <w:divBdr>
        <w:top w:val="none" w:sz="0" w:space="0" w:color="auto"/>
        <w:left w:val="none" w:sz="0" w:space="0" w:color="auto"/>
        <w:bottom w:val="none" w:sz="0" w:space="0" w:color="auto"/>
        <w:right w:val="none" w:sz="0" w:space="0" w:color="auto"/>
      </w:divBdr>
    </w:div>
    <w:div w:id="19763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baweb.sdsu.edu/assets/files/assessment/goals/2012/BSBA-Acc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3</cp:revision>
  <cp:lastPrinted>2013-02-28T21:17:00Z</cp:lastPrinted>
  <dcterms:created xsi:type="dcterms:W3CDTF">2014-09-22T18:16:00Z</dcterms:created>
  <dcterms:modified xsi:type="dcterms:W3CDTF">2014-09-22T18:24:00Z</dcterms:modified>
</cp:coreProperties>
</file>